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A82D83" w14:paraId="7196F33A" w14:textId="77777777" w:rsidTr="00153010">
        <w:trPr>
          <w:trHeight w:val="576"/>
        </w:trPr>
        <w:tc>
          <w:tcPr>
            <w:tcW w:w="9350" w:type="dxa"/>
            <w:shd w:val="clear" w:color="auto" w:fill="DEEAF6" w:themeFill="accent5" w:themeFillTint="33"/>
            <w:vAlign w:val="center"/>
          </w:tcPr>
          <w:p w14:paraId="3A51DCF8" w14:textId="2E3BD548" w:rsidR="00A82D83" w:rsidRDefault="00153010" w:rsidP="00D01ABC">
            <w:pPr>
              <w:rPr>
                <w:b/>
                <w:bCs/>
              </w:rPr>
            </w:pPr>
            <w:r w:rsidRPr="00153010">
              <w:rPr>
                <w:b/>
                <w:bCs/>
                <w:sz w:val="24"/>
                <w:szCs w:val="24"/>
              </w:rPr>
              <w:t>Coverage denied? Cover My Mental Health Can Help</w:t>
            </w:r>
          </w:p>
        </w:tc>
      </w:tr>
    </w:tbl>
    <w:p w14:paraId="46FDEFCE" w14:textId="77777777" w:rsidR="00D01ABC" w:rsidRDefault="00D01ABC" w:rsidP="00D01ABC">
      <w:pPr>
        <w:rPr>
          <w:b/>
          <w:bCs/>
        </w:rPr>
      </w:pPr>
    </w:p>
    <w:p w14:paraId="16E595DE" w14:textId="77777777" w:rsidR="00D01ABC" w:rsidRPr="00621532" w:rsidRDefault="00D01ABC" w:rsidP="00153010">
      <w:pPr>
        <w:spacing w:after="60"/>
        <w:rPr>
          <w:b/>
          <w:bCs/>
        </w:rPr>
      </w:pPr>
      <w:r>
        <w:rPr>
          <w:b/>
          <w:bCs/>
        </w:rPr>
        <w:t xml:space="preserve">Instructions: </w:t>
      </w:r>
    </w:p>
    <w:p w14:paraId="00B32BEF" w14:textId="5EB3620F" w:rsidR="00D01ABC" w:rsidRDefault="00A82D83" w:rsidP="00153010">
      <w:pPr>
        <w:spacing w:after="60"/>
      </w:pPr>
      <w:r>
        <w:t>This</w:t>
      </w:r>
      <w:r w:rsidR="00D01ABC">
        <w:t xml:space="preserve"> no-cost content</w:t>
      </w:r>
      <w:r w:rsidR="00A1246E">
        <w:t xml:space="preserve"> is</w:t>
      </w:r>
      <w:r w:rsidR="00D01ABC">
        <w:t xml:space="preserve"> available to use to help advocate for coverage and care through your communications channels. </w:t>
      </w:r>
    </w:p>
    <w:p w14:paraId="74A931D5" w14:textId="52B30272" w:rsidR="00D01ABC" w:rsidRDefault="00D01ABC" w:rsidP="00153010">
      <w:pPr>
        <w:spacing w:after="60"/>
      </w:pPr>
      <w:r>
        <w:t xml:space="preserve">Simply copy the content </w:t>
      </w:r>
      <w:r w:rsidR="00A217A5">
        <w:t xml:space="preserve">below </w:t>
      </w:r>
      <w:r>
        <w:t xml:space="preserve">and add it to your </w:t>
      </w:r>
      <w:r w:rsidRPr="002818B4">
        <w:t xml:space="preserve">newsletter, blog, website, </w:t>
      </w:r>
      <w:r>
        <w:t xml:space="preserve">and/or </w:t>
      </w:r>
      <w:r w:rsidRPr="002818B4">
        <w:t>social media</w:t>
      </w:r>
      <w:r>
        <w:t xml:space="preserve"> posts to help people better advocate for coverage and care. </w:t>
      </w:r>
      <w:r w:rsidR="00A217A5">
        <w:t xml:space="preserve"> </w:t>
      </w:r>
    </w:p>
    <w:p w14:paraId="19E9B98F" w14:textId="77777777" w:rsidR="00B56EB3" w:rsidRDefault="00B56EB3" w:rsidP="0062153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B56EB3" w14:paraId="5D50B98C" w14:textId="77777777" w:rsidTr="00B56EB3">
        <w:tc>
          <w:tcPr>
            <w:tcW w:w="9350" w:type="dxa"/>
          </w:tcPr>
          <w:p w14:paraId="7304B427" w14:textId="77777777" w:rsidR="00153010" w:rsidRPr="00ED56E3" w:rsidRDefault="00153010" w:rsidP="00153010">
            <w:pPr>
              <w:rPr>
                <w:rFonts w:eastAsia="Times New Roman" w:cs="Times New Roman"/>
                <w:b/>
                <w:bCs/>
                <w:color w:val="000000"/>
                <w:kern w:val="0"/>
                <w14:ligatures w14:val="none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14:ligatures w14:val="none"/>
              </w:rPr>
              <w:t xml:space="preserve">Coverage denied? </w:t>
            </w:r>
            <w:r w:rsidRPr="006E2639">
              <w:rPr>
                <w:rFonts w:eastAsia="Times New Roman" w:cs="Times New Roman"/>
                <w:b/>
                <w:bCs/>
                <w:color w:val="000000"/>
                <w:kern w:val="0"/>
                <w14:ligatures w14:val="none"/>
              </w:rPr>
              <w:t>Cover</w:t>
            </w:r>
            <w:r>
              <w:rPr>
                <w:rFonts w:eastAsia="Times New Roman" w:cs="Times New Roman"/>
                <w:b/>
                <w:bCs/>
                <w:color w:val="000000"/>
                <w:kern w:val="0"/>
                <w14:ligatures w14:val="none"/>
              </w:rPr>
              <w:t xml:space="preserve"> </w:t>
            </w:r>
            <w:r w:rsidRPr="006E2639">
              <w:rPr>
                <w:rFonts w:eastAsia="Times New Roman" w:cs="Times New Roman"/>
                <w:b/>
                <w:bCs/>
                <w:color w:val="000000"/>
                <w:kern w:val="0"/>
                <w14:ligatures w14:val="none"/>
              </w:rPr>
              <w:t>My</w:t>
            </w:r>
            <w:r>
              <w:rPr>
                <w:rFonts w:eastAsia="Times New Roman" w:cs="Times New Roman"/>
                <w:b/>
                <w:bCs/>
                <w:color w:val="000000"/>
                <w:kern w:val="0"/>
                <w14:ligatures w14:val="none"/>
              </w:rPr>
              <w:t xml:space="preserve"> </w:t>
            </w:r>
            <w:r w:rsidRPr="006E2639">
              <w:rPr>
                <w:rFonts w:eastAsia="Times New Roman" w:cs="Times New Roman"/>
                <w:b/>
                <w:bCs/>
                <w:color w:val="000000"/>
                <w:kern w:val="0"/>
                <w14:ligatures w14:val="none"/>
              </w:rPr>
              <w:t>Mental</w:t>
            </w:r>
            <w:r>
              <w:rPr>
                <w:rFonts w:eastAsia="Times New Roman" w:cs="Times New Roman"/>
                <w:b/>
                <w:bCs/>
                <w:color w:val="000000"/>
                <w:kern w:val="0"/>
                <w14:ligatures w14:val="none"/>
              </w:rPr>
              <w:t xml:space="preserve"> </w:t>
            </w:r>
            <w:r w:rsidRPr="006E2639">
              <w:rPr>
                <w:rFonts w:eastAsia="Times New Roman" w:cs="Times New Roman"/>
                <w:b/>
                <w:bCs/>
                <w:color w:val="000000"/>
                <w:kern w:val="0"/>
                <w14:ligatures w14:val="none"/>
              </w:rPr>
              <w:t xml:space="preserve">Health </w:t>
            </w:r>
            <w:r>
              <w:rPr>
                <w:rFonts w:eastAsia="Times New Roman" w:cs="Times New Roman"/>
                <w:b/>
                <w:bCs/>
                <w:color w:val="000000"/>
                <w:kern w:val="0"/>
                <w14:ligatures w14:val="none"/>
              </w:rPr>
              <w:t>C</w:t>
            </w:r>
            <w:r w:rsidRPr="006E2639">
              <w:rPr>
                <w:rFonts w:eastAsia="Times New Roman" w:cs="Times New Roman"/>
                <w:b/>
                <w:bCs/>
                <w:color w:val="000000"/>
                <w:kern w:val="0"/>
                <w14:ligatures w14:val="none"/>
              </w:rPr>
              <w:t xml:space="preserve">an </w:t>
            </w:r>
            <w:r>
              <w:rPr>
                <w:rFonts w:eastAsia="Times New Roman" w:cs="Times New Roman"/>
                <w:b/>
                <w:bCs/>
                <w:color w:val="000000"/>
                <w:kern w:val="0"/>
                <w14:ligatures w14:val="none"/>
              </w:rPr>
              <w:t>H</w:t>
            </w:r>
            <w:r w:rsidRPr="006E2639">
              <w:rPr>
                <w:rFonts w:eastAsia="Times New Roman" w:cs="Times New Roman"/>
                <w:b/>
                <w:bCs/>
                <w:color w:val="000000"/>
                <w:kern w:val="0"/>
                <w14:ligatures w14:val="none"/>
              </w:rPr>
              <w:t>elp</w:t>
            </w:r>
          </w:p>
          <w:p w14:paraId="16802931" w14:textId="77777777" w:rsidR="00153010" w:rsidRPr="006E2639" w:rsidRDefault="00153010" w:rsidP="00153010">
            <w:pPr>
              <w:spacing w:after="100"/>
              <w:rPr>
                <w:rFonts w:eastAsia="Times New Roman" w:cs="Times New Roman"/>
                <w:color w:val="000000"/>
                <w:kern w:val="0"/>
                <w14:ligatures w14:val="none"/>
              </w:rPr>
            </w:pPr>
          </w:p>
          <w:p w14:paraId="4DB8FB5E" w14:textId="77777777" w:rsidR="00153010" w:rsidRDefault="00153010" w:rsidP="00153010">
            <w:pPr>
              <w:spacing w:after="200"/>
              <w:ind w:right="336"/>
              <w:rPr>
                <w:rFonts w:eastAsia="Times New Roman" w:cs="Times New Roman"/>
                <w:color w:val="000000"/>
                <w:kern w:val="0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14:ligatures w14:val="none"/>
              </w:rPr>
              <w:t xml:space="preserve">If insurance denials block the path to treatment, there is help and hope. </w:t>
            </w:r>
          </w:p>
          <w:p w14:paraId="4C901253" w14:textId="77777777" w:rsidR="00153010" w:rsidRDefault="00153010" w:rsidP="00153010">
            <w:pPr>
              <w:spacing w:after="200"/>
              <w:ind w:right="336"/>
              <w:rPr>
                <w:rFonts w:eastAsia="Times New Roman" w:cs="Times New Roman"/>
                <w:color w:val="000000"/>
                <w:kern w:val="0"/>
                <w14:ligatures w14:val="none"/>
              </w:rPr>
            </w:pPr>
            <w:r w:rsidRPr="006E2639">
              <w:rPr>
                <w:rFonts w:eastAsia="Times New Roman" w:cs="Times New Roman"/>
                <w:color w:val="000000"/>
                <w:kern w:val="0"/>
                <w14:ligatures w14:val="none"/>
              </w:rPr>
              <w:t xml:space="preserve">When mental health or substance use </w:t>
            </w:r>
            <w:r>
              <w:rPr>
                <w:rFonts w:eastAsia="Times New Roman" w:cs="Times New Roman"/>
                <w:color w:val="000000"/>
                <w:kern w:val="0"/>
                <w14:ligatures w14:val="none"/>
              </w:rPr>
              <w:t>conditions are</w:t>
            </w:r>
            <w:r w:rsidRPr="006E2639">
              <w:rPr>
                <w:rFonts w:eastAsia="Times New Roman" w:cs="Times New Roman"/>
                <w:color w:val="000000"/>
                <w:kern w:val="0"/>
                <w14:ligatures w14:val="none"/>
              </w:rPr>
              <w:t xml:space="preserve"> </w:t>
            </w:r>
            <w:r>
              <w:rPr>
                <w:rFonts w:eastAsia="Times New Roman" w:cs="Times New Roman"/>
                <w:color w:val="000000"/>
                <w:kern w:val="0"/>
                <w14:ligatures w14:val="none"/>
              </w:rPr>
              <w:t>of immediate concern</w:t>
            </w:r>
            <w:r w:rsidRPr="006E2639">
              <w:rPr>
                <w:rFonts w:eastAsia="Times New Roman" w:cs="Times New Roman"/>
                <w:color w:val="000000"/>
                <w:kern w:val="0"/>
                <w14:ligatures w14:val="none"/>
              </w:rPr>
              <w:t xml:space="preserve">, patients and their families </w:t>
            </w:r>
            <w:r>
              <w:rPr>
                <w:rFonts w:eastAsia="Times New Roman" w:cs="Times New Roman"/>
                <w:color w:val="000000"/>
                <w:kern w:val="0"/>
                <w14:ligatures w14:val="none"/>
              </w:rPr>
              <w:t>must</w:t>
            </w:r>
            <w:r w:rsidRPr="006E2639">
              <w:rPr>
                <w:rFonts w:eastAsia="Times New Roman" w:cs="Times New Roman"/>
                <w:color w:val="000000"/>
                <w:kern w:val="0"/>
                <w14:ligatures w14:val="none"/>
              </w:rPr>
              <w:t xml:space="preserve"> focus on getting care and treatment as soon as possible. They </w:t>
            </w:r>
            <w:proofErr w:type="gramStart"/>
            <w:r w:rsidRPr="006E2639">
              <w:rPr>
                <w:rFonts w:eastAsia="Times New Roman" w:cs="Times New Roman"/>
                <w:color w:val="000000"/>
                <w:kern w:val="0"/>
                <w14:ligatures w14:val="none"/>
              </w:rPr>
              <w:t>don’t</w:t>
            </w:r>
            <w:proofErr w:type="gramEnd"/>
            <w:r w:rsidRPr="006E2639">
              <w:rPr>
                <w:rFonts w:eastAsia="Times New Roman" w:cs="Times New Roman"/>
                <w:color w:val="000000"/>
                <w:kern w:val="0"/>
                <w14:ligatures w14:val="none"/>
              </w:rPr>
              <w:t xml:space="preserve"> need the added burden of a denied insurance claim or other roadblocks in the path to treatment. </w:t>
            </w:r>
          </w:p>
          <w:p w14:paraId="4E1BD770" w14:textId="77777777" w:rsidR="00153010" w:rsidRPr="006E2639" w:rsidRDefault="00153010" w:rsidP="00153010">
            <w:pPr>
              <w:spacing w:after="200"/>
              <w:ind w:right="336"/>
              <w:rPr>
                <w:rFonts w:eastAsia="Times New Roman" w:cs="Times New Roman"/>
                <w:color w:val="000000"/>
                <w:kern w:val="0"/>
                <w14:ligatures w14:val="none"/>
              </w:rPr>
            </w:pPr>
            <w:r w:rsidRPr="006E2639">
              <w:rPr>
                <w:rFonts w:eastAsia="Times New Roman" w:cs="Times New Roman"/>
                <w:color w:val="000000"/>
                <w:kern w:val="0"/>
                <w14:ligatures w14:val="none"/>
              </w:rPr>
              <w:t xml:space="preserve">A recent </w:t>
            </w:r>
            <w:r>
              <w:rPr>
                <w:rFonts w:eastAsia="Times New Roman" w:cs="Times New Roman"/>
                <w:color w:val="000000"/>
                <w:kern w:val="0"/>
                <w14:ligatures w14:val="none"/>
              </w:rPr>
              <w:t>report</w:t>
            </w:r>
            <w:r w:rsidRPr="006E2639">
              <w:rPr>
                <w:rFonts w:eastAsia="Times New Roman" w:cs="Times New Roman"/>
                <w:color w:val="000000"/>
                <w:kern w:val="0"/>
                <w14:ligatures w14:val="none"/>
              </w:rPr>
              <w:t xml:space="preserve"> by the </w:t>
            </w:r>
            <w:hyperlink r:id="rId7" w:history="1">
              <w:r w:rsidRPr="006E17E4">
                <w:rPr>
                  <w:rStyle w:val="Hyperlink"/>
                  <w:rFonts w:eastAsia="Times New Roman" w:cs="Times New Roman"/>
                  <w:kern w:val="0"/>
                  <w14:ligatures w14:val="none"/>
                </w:rPr>
                <w:t>Kaiser Family Foundation</w:t>
              </w:r>
            </w:hyperlink>
            <w:r w:rsidRPr="006E2639">
              <w:rPr>
                <w:rFonts w:eastAsia="Times New Roman" w:cs="Times New Roman"/>
                <w:color w:val="000000"/>
                <w:kern w:val="0"/>
                <w14:ligatures w14:val="none"/>
              </w:rPr>
              <w:t xml:space="preserve"> </w:t>
            </w:r>
            <w:r>
              <w:rPr>
                <w:rFonts w:eastAsia="Times New Roman" w:cs="Times New Roman"/>
                <w:color w:val="000000"/>
                <w:kern w:val="0"/>
                <w14:ligatures w14:val="none"/>
              </w:rPr>
              <w:t>estimates</w:t>
            </w:r>
            <w:r w:rsidRPr="006E2639">
              <w:rPr>
                <w:rFonts w:eastAsia="Times New Roman" w:cs="Times New Roman"/>
                <w:color w:val="000000"/>
                <w:kern w:val="0"/>
                <w14:ligatures w14:val="none"/>
              </w:rPr>
              <w:t xml:space="preserve"> that </w:t>
            </w:r>
            <w:r>
              <w:rPr>
                <w:rFonts w:eastAsia="Times New Roman" w:cs="Times New Roman"/>
                <w:color w:val="000000"/>
                <w:kern w:val="0"/>
                <w14:ligatures w14:val="none"/>
              </w:rPr>
              <w:t>1 in 5</w:t>
            </w:r>
            <w:r w:rsidRPr="006E2639">
              <w:rPr>
                <w:rFonts w:eastAsia="Times New Roman" w:cs="Times New Roman"/>
                <w:color w:val="000000"/>
                <w:kern w:val="0"/>
                <w14:ligatures w14:val="none"/>
              </w:rPr>
              <w:t xml:space="preserve"> insurance claims for mental health care coverage are denied. And that may only be the tip of the iceberg. Other barriers to care—no in-network providers, no access to telehealth, and delays in authorizations—can make getting mental health care coverage feel </w:t>
            </w:r>
            <w:r>
              <w:rPr>
                <w:rFonts w:eastAsia="Times New Roman" w:cs="Times New Roman"/>
                <w:color w:val="000000"/>
                <w:kern w:val="0"/>
                <w14:ligatures w14:val="none"/>
              </w:rPr>
              <w:t xml:space="preserve">out of reach or </w:t>
            </w:r>
            <w:r w:rsidRPr="006E2639">
              <w:rPr>
                <w:rFonts w:eastAsia="Times New Roman" w:cs="Times New Roman"/>
                <w:color w:val="000000"/>
                <w:kern w:val="0"/>
                <w14:ligatures w14:val="none"/>
              </w:rPr>
              <w:t xml:space="preserve">impossible. </w:t>
            </w:r>
          </w:p>
          <w:p w14:paraId="1D24C300" w14:textId="77777777" w:rsidR="00153010" w:rsidRPr="006E2639" w:rsidRDefault="00153010" w:rsidP="00153010">
            <w:pPr>
              <w:spacing w:after="200"/>
              <w:ind w:right="336"/>
              <w:rPr>
                <w:rFonts w:eastAsia="Times New Roman" w:cs="Times New Roman"/>
                <w:color w:val="000000"/>
                <w:kern w:val="0"/>
                <w14:ligatures w14:val="none"/>
              </w:rPr>
            </w:pPr>
            <w:r w:rsidRPr="006E2639">
              <w:rPr>
                <w:rFonts w:eastAsia="Times New Roman" w:cs="Times New Roman"/>
                <w:color w:val="000000"/>
                <w:kern w:val="0"/>
                <w14:ligatures w14:val="none"/>
              </w:rPr>
              <w:t>It can be overwhelming</w:t>
            </w:r>
            <w:r>
              <w:rPr>
                <w:rFonts w:eastAsia="Times New Roman" w:cs="Times New Roman"/>
                <w:color w:val="000000"/>
                <w:kern w:val="0"/>
                <w14:ligatures w14:val="none"/>
              </w:rPr>
              <w:t>. But guidance is available to help you move forward with confidence</w:t>
            </w:r>
            <w:r w:rsidRPr="006E2639">
              <w:rPr>
                <w:rFonts w:eastAsia="Times New Roman" w:cs="Times New Roman"/>
                <w:color w:val="000000"/>
                <w:kern w:val="0"/>
                <w14:ligatures w14:val="none"/>
              </w:rPr>
              <w:t>.</w:t>
            </w:r>
          </w:p>
          <w:p w14:paraId="26598C47" w14:textId="77777777" w:rsidR="00153010" w:rsidRPr="006E2639" w:rsidRDefault="00153010" w:rsidP="00153010">
            <w:pPr>
              <w:spacing w:after="200"/>
              <w:ind w:right="336"/>
              <w:rPr>
                <w:color w:val="292929"/>
              </w:rPr>
            </w:pPr>
            <w:hyperlink r:id="rId8" w:history="1">
              <w:r w:rsidRPr="006E2639">
                <w:rPr>
                  <w:rStyle w:val="Hyperlink"/>
                  <w:b/>
                </w:rPr>
                <w:t>CoverMyMentalHealth.org</w:t>
              </w:r>
            </w:hyperlink>
            <w:r w:rsidRPr="006E2639">
              <w:rPr>
                <w:color w:val="292929"/>
              </w:rPr>
              <w:t xml:space="preserve"> provides no-cost resources to individuals and families facing insurance barriers to their mental health care. Most importantly, Cover My Mental Health provides encouragement </w:t>
            </w:r>
            <w:r>
              <w:rPr>
                <w:color w:val="292929"/>
              </w:rPr>
              <w:t>so</w:t>
            </w:r>
            <w:r w:rsidRPr="006E2639">
              <w:rPr>
                <w:color w:val="292929"/>
              </w:rPr>
              <w:t xml:space="preserve"> individuals seeking coverage </w:t>
            </w:r>
            <w:proofErr w:type="gramStart"/>
            <w:r w:rsidRPr="006E2639">
              <w:rPr>
                <w:color w:val="292929"/>
              </w:rPr>
              <w:t>don’t</w:t>
            </w:r>
            <w:proofErr w:type="gramEnd"/>
            <w:r w:rsidRPr="006E2639">
              <w:rPr>
                <w:color w:val="292929"/>
              </w:rPr>
              <w:t xml:space="preserve"> have to take “no” for an answer. The organization was founded by Joe Feldman who faced barriers to care when his insurance company denied a claim for a family member. Joe successfully overcame the denials and launched Cover My Mental Health in 2024 to share what he learned</w:t>
            </w:r>
            <w:r>
              <w:rPr>
                <w:color w:val="292929"/>
              </w:rPr>
              <w:t>,</w:t>
            </w:r>
            <w:r w:rsidRPr="006E2639">
              <w:rPr>
                <w:color w:val="292929"/>
              </w:rPr>
              <w:t xml:space="preserve"> </w:t>
            </w:r>
            <w:r>
              <w:rPr>
                <w:color w:val="292929"/>
              </w:rPr>
              <w:t>along with</w:t>
            </w:r>
            <w:r w:rsidRPr="006E2639">
              <w:rPr>
                <w:color w:val="292929"/>
              </w:rPr>
              <w:t xml:space="preserve"> the </w:t>
            </w:r>
            <w:r>
              <w:rPr>
                <w:color w:val="292929"/>
              </w:rPr>
              <w:t>insight</w:t>
            </w:r>
            <w:r w:rsidRPr="006E2639">
              <w:rPr>
                <w:color w:val="292929"/>
              </w:rPr>
              <w:t xml:space="preserve"> of </w:t>
            </w:r>
            <w:r>
              <w:rPr>
                <w:color w:val="292929"/>
              </w:rPr>
              <w:t>litigators, regulators, insurance executives and other experts,</w:t>
            </w:r>
            <w:r w:rsidRPr="006E2639">
              <w:rPr>
                <w:color w:val="292929"/>
              </w:rPr>
              <w:t xml:space="preserve"> to help patients, their families, and clinicians overcome obstacles to care. </w:t>
            </w:r>
          </w:p>
          <w:p w14:paraId="546738E3" w14:textId="3D2203BD" w:rsidR="00153010" w:rsidRPr="000E345D" w:rsidRDefault="00153010" w:rsidP="00153010">
            <w:pPr>
              <w:spacing w:after="200"/>
              <w:ind w:right="336"/>
              <w:rPr>
                <w:i/>
                <w:color w:val="292929"/>
              </w:rPr>
            </w:pPr>
            <w:r w:rsidRPr="006E2639">
              <w:rPr>
                <w:color w:val="292929"/>
              </w:rPr>
              <w:t>Visit the</w:t>
            </w:r>
            <w:r>
              <w:rPr>
                <w:color w:val="292929"/>
              </w:rPr>
              <w:t xml:space="preserve"> site</w:t>
            </w:r>
            <w:r w:rsidRPr="006E2639">
              <w:rPr>
                <w:color w:val="292929"/>
              </w:rPr>
              <w:t xml:space="preserve"> to access helpful resources</w:t>
            </w:r>
            <w:r>
              <w:rPr>
                <w:color w:val="292929"/>
              </w:rPr>
              <w:t xml:space="preserve"> and </w:t>
            </w:r>
            <w:r w:rsidRPr="006E2639">
              <w:rPr>
                <w:color w:val="292929"/>
              </w:rPr>
              <w:t>tell insurance companies: “</w:t>
            </w:r>
            <w:r w:rsidRPr="006E2639">
              <w:rPr>
                <w:i/>
                <w:color w:val="292929"/>
              </w:rPr>
              <w:t>Cover My Mental Health.”</w:t>
            </w:r>
          </w:p>
          <w:p w14:paraId="6BE8CEC1" w14:textId="1A9CF84E" w:rsidR="00B56EB3" w:rsidRDefault="00B56EB3" w:rsidP="00621532">
            <w:r>
              <w:rPr>
                <w:noProof/>
              </w:rPr>
              <w:drawing>
                <wp:inline distT="0" distB="0" distL="0" distR="0" wp14:anchorId="3D96264E" wp14:editId="44484418">
                  <wp:extent cx="1623323" cy="1064872"/>
                  <wp:effectExtent l="0" t="0" r="0" b="2540"/>
                  <wp:docPr id="1027909409" name="Picture 2" descr="A logo with blue and yellow letters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7909409" name="Picture 2" descr="A logo with blue and yellow letters&#10;&#10;AI-generated content may be incorrect.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104" cy="1083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153010">
              <w:t xml:space="preserve">                       </w:t>
            </w:r>
            <w:r w:rsidR="00153010">
              <w:rPr>
                <w:noProof/>
              </w:rPr>
              <w:drawing>
                <wp:inline distT="0" distB="0" distL="0" distR="0" wp14:anchorId="389EB3F0" wp14:editId="1D450F9F">
                  <wp:extent cx="2075218" cy="1137046"/>
                  <wp:effectExtent l="0" t="0" r="1270" b="6350"/>
                  <wp:docPr id="120707109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4667" cy="11531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FFF7B65" w14:textId="6CD5013F" w:rsidR="00621532" w:rsidRDefault="00621532" w:rsidP="00D01ABC"/>
    <w:sectPr w:rsidR="00621532" w:rsidSect="00153010">
      <w:headerReference w:type="default" r:id="rId11"/>
      <w:footerReference w:type="default" r:id="rId12"/>
      <w:pgSz w:w="12240" w:h="15840"/>
      <w:pgMar w:top="1440" w:right="720" w:bottom="1440" w:left="1440" w:header="720" w:footer="1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C99B67" w14:textId="77777777" w:rsidR="006A6AF5" w:rsidRDefault="006A6AF5" w:rsidP="00A82D83">
      <w:pPr>
        <w:spacing w:after="0"/>
      </w:pPr>
      <w:r>
        <w:separator/>
      </w:r>
    </w:p>
  </w:endnote>
  <w:endnote w:type="continuationSeparator" w:id="0">
    <w:p w14:paraId="13FD5353" w14:textId="77777777" w:rsidR="006A6AF5" w:rsidRDefault="006A6AF5" w:rsidP="00A82D8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9A7F7" w14:textId="72C2C371" w:rsidR="00153010" w:rsidRPr="00153010" w:rsidRDefault="00153010" w:rsidP="00153010">
    <w:pPr>
      <w:rPr>
        <w:sz w:val="18"/>
        <w:szCs w:val="18"/>
      </w:rPr>
    </w:pPr>
    <w:r w:rsidRPr="00153010">
      <w:rPr>
        <w:sz w:val="18"/>
        <w:szCs w:val="18"/>
      </w:rPr>
      <w:t xml:space="preserve">Thanks for your ongoing support. And as always, your feedback is greatly </w:t>
    </w:r>
    <w:r w:rsidR="00A1246E">
      <w:rPr>
        <w:sz w:val="18"/>
        <w:szCs w:val="18"/>
      </w:rPr>
      <w:t>welcome</w:t>
    </w:r>
    <w:r w:rsidRPr="00153010">
      <w:rPr>
        <w:sz w:val="18"/>
        <w:szCs w:val="18"/>
      </w:rPr>
      <w:t xml:space="preserve">. </w:t>
    </w:r>
  </w:p>
  <w:p w14:paraId="305F714E" w14:textId="1144DF8B" w:rsidR="00153010" w:rsidRPr="00153010" w:rsidRDefault="00153010" w:rsidP="00153010">
    <w:pPr>
      <w:rPr>
        <w:sz w:val="18"/>
        <w:szCs w:val="18"/>
      </w:rPr>
    </w:pPr>
    <w:r w:rsidRPr="00153010">
      <w:rPr>
        <w:sz w:val="18"/>
        <w:szCs w:val="18"/>
      </w:rPr>
      <w:t xml:space="preserve">We welcome your including </w:t>
    </w:r>
    <w:hyperlink r:id="rId1" w:history="1">
      <w:r w:rsidRPr="00153010">
        <w:rPr>
          <w:rStyle w:val="Hyperlink"/>
          <w:sz w:val="18"/>
          <w:szCs w:val="18"/>
        </w:rPr>
        <w:t>contenthub@covermymentalhealth.com</w:t>
      </w:r>
    </w:hyperlink>
    <w:r w:rsidRPr="00153010">
      <w:rPr>
        <w:sz w:val="18"/>
        <w:szCs w:val="18"/>
      </w:rPr>
      <w:t xml:space="preserve"> on your distribution list or </w:t>
    </w:r>
    <w:r w:rsidR="00A1246E">
      <w:rPr>
        <w:sz w:val="18"/>
        <w:szCs w:val="18"/>
      </w:rPr>
      <w:t>sharing</w:t>
    </w:r>
    <w:r w:rsidR="00F0100C">
      <w:rPr>
        <w:sz w:val="18"/>
        <w:szCs w:val="18"/>
      </w:rPr>
      <w:t xml:space="preserve"> your</w:t>
    </w:r>
    <w:r w:rsidRPr="00153010">
      <w:rPr>
        <w:sz w:val="18"/>
        <w:szCs w:val="18"/>
      </w:rPr>
      <w:t xml:space="preserve"> use of these resources.</w:t>
    </w:r>
  </w:p>
  <w:p w14:paraId="53081FEE" w14:textId="77777777" w:rsidR="00D61278" w:rsidRDefault="00D612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28A06D" w14:textId="77777777" w:rsidR="006A6AF5" w:rsidRDefault="006A6AF5" w:rsidP="00A82D83">
      <w:pPr>
        <w:spacing w:after="0"/>
      </w:pPr>
      <w:r>
        <w:separator/>
      </w:r>
    </w:p>
  </w:footnote>
  <w:footnote w:type="continuationSeparator" w:id="0">
    <w:p w14:paraId="776D3EC2" w14:textId="77777777" w:rsidR="006A6AF5" w:rsidRDefault="006A6AF5" w:rsidP="00A82D8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E813F8" w14:textId="77777777" w:rsidR="00A82D83" w:rsidRDefault="00A82D83" w:rsidP="00A82D83">
    <w:pPr>
      <w:pStyle w:val="Header"/>
      <w:jc w:val="right"/>
    </w:pPr>
    <w:r w:rsidRPr="00A82D83">
      <w:rPr>
        <w:noProof/>
      </w:rPr>
      <w:drawing>
        <wp:anchor distT="0" distB="0" distL="114300" distR="114300" simplePos="0" relativeHeight="251658240" behindDoc="0" locked="0" layoutInCell="1" allowOverlap="1" wp14:anchorId="5B848858" wp14:editId="066F921B">
          <wp:simplePos x="0" y="0"/>
          <wp:positionH relativeFrom="margin">
            <wp:align>left</wp:align>
          </wp:positionH>
          <wp:positionV relativeFrom="paragraph">
            <wp:posOffset>-1316355</wp:posOffset>
          </wp:positionV>
          <wp:extent cx="541020" cy="3208020"/>
          <wp:effectExtent l="0" t="0" r="0" b="0"/>
          <wp:wrapSquare wrapText="bothSides"/>
          <wp:docPr id="45155736" name="Picture 1" descr="A yellow logo with a square and a rectangle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3539895" name="Picture 1" descr="A yellow logo with a square and a rectangle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5400000">
                    <a:off x="0" y="0"/>
                    <a:ext cx="541020" cy="32080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0" distR="0" wp14:anchorId="0144CC23" wp14:editId="47580247">
          <wp:extent cx="1452018" cy="952500"/>
          <wp:effectExtent l="0" t="0" r="0" b="0"/>
          <wp:docPr id="14583923" name="Picture 1" descr="A logo with blue and yellow letters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0403777" name="Picture 1" descr="A logo with blue and yellow letters&#10;&#10;AI-generated content may be incorrect.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5561" cy="9810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E52E4DE" w14:textId="77777777" w:rsidR="00A82D83" w:rsidRDefault="00A82D8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7E0128"/>
    <w:multiLevelType w:val="hybridMultilevel"/>
    <w:tmpl w:val="98CA062E"/>
    <w:lvl w:ilvl="0" w:tplc="077EBBEA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93485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532"/>
    <w:rsid w:val="00153010"/>
    <w:rsid w:val="001D6161"/>
    <w:rsid w:val="0024705E"/>
    <w:rsid w:val="0025567C"/>
    <w:rsid w:val="00257375"/>
    <w:rsid w:val="002A7BE0"/>
    <w:rsid w:val="002B3690"/>
    <w:rsid w:val="00433371"/>
    <w:rsid w:val="004F6C35"/>
    <w:rsid w:val="0057627B"/>
    <w:rsid w:val="00621532"/>
    <w:rsid w:val="006A5596"/>
    <w:rsid w:val="006A6AF5"/>
    <w:rsid w:val="00862688"/>
    <w:rsid w:val="008B346C"/>
    <w:rsid w:val="00916BE5"/>
    <w:rsid w:val="009B251C"/>
    <w:rsid w:val="00A1246E"/>
    <w:rsid w:val="00A217A5"/>
    <w:rsid w:val="00A63558"/>
    <w:rsid w:val="00A703A7"/>
    <w:rsid w:val="00A82D83"/>
    <w:rsid w:val="00B40887"/>
    <w:rsid w:val="00B417D3"/>
    <w:rsid w:val="00B56EB3"/>
    <w:rsid w:val="00BE4410"/>
    <w:rsid w:val="00C81E2A"/>
    <w:rsid w:val="00C97C31"/>
    <w:rsid w:val="00D01ABC"/>
    <w:rsid w:val="00D61278"/>
    <w:rsid w:val="00D80161"/>
    <w:rsid w:val="00E73857"/>
    <w:rsid w:val="00E92CE8"/>
    <w:rsid w:val="00EA7C13"/>
    <w:rsid w:val="00F0100C"/>
    <w:rsid w:val="00F75E22"/>
    <w:rsid w:val="00FD3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452531"/>
  <w15:chartTrackingRefBased/>
  <w15:docId w15:val="{7336E965-CCFA-4CEE-908B-BFC9F1301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2153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215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2153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153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2153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2153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2153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2153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2153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215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215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2153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1532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21532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2153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2153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2153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2153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2153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215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2153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2153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2153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2153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2153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2153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215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2153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21532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62153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21532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B56EB3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82D83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A82D83"/>
  </w:style>
  <w:style w:type="paragraph" w:styleId="Footer">
    <w:name w:val="footer"/>
    <w:basedOn w:val="Normal"/>
    <w:link w:val="FooterChar"/>
    <w:uiPriority w:val="99"/>
    <w:unhideWhenUsed/>
    <w:rsid w:val="00A82D83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82D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156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60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8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32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2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1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9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vermymentalhealth.org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kff.org/private-insurance/issue-brief/claims-denials-and-appeals-in-aca-marketplace-plans-in-2023/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enthub@covermymentalhealth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323</Words>
  <Characters>1846</Characters>
  <Application>Microsoft Office Word</Application>
  <DocSecurity>0</DocSecurity>
  <Lines>15</Lines>
  <Paragraphs>4</Paragraphs>
  <ScaleCrop>false</ScaleCrop>
  <Company/>
  <LinksUpToDate>false</LinksUpToDate>
  <CharactersWithSpaces>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 Feldman</dc:creator>
  <cp:keywords/>
  <dc:description/>
  <cp:lastModifiedBy>Joseph Feldman</cp:lastModifiedBy>
  <cp:revision>2</cp:revision>
  <dcterms:created xsi:type="dcterms:W3CDTF">2025-03-13T16:18:00Z</dcterms:created>
  <dcterms:modified xsi:type="dcterms:W3CDTF">2025-03-13T16:18:00Z</dcterms:modified>
</cp:coreProperties>
</file>